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                                               «Основная общеобразовательная школа с.Полевое»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widowControl w:val="false"/>
        <w:tabs>
          <w:tab w:leader="none" w:pos="708" w:val="left"/>
          <w:tab w:leader="none" w:pos="2517" w:val="left"/>
          <w:tab w:leader="none" w:pos="4829" w:val="center"/>
        </w:tabs>
        <w:suppressAutoHyphens w:val="true"/>
        <w:spacing w:after="0" w:before="0" w:line="100" w:lineRule="atLeast"/>
        <w:ind w:hanging="0" w:left="0" w:right="165"/>
      </w:pP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>СОГЛАСОВАНА                                                                                           УТВЕРЖДЕНА</w:t>
      </w:r>
    </w:p>
    <w:p>
      <w:pPr>
        <w:pStyle w:val="style0"/>
        <w:widowControl w:val="false"/>
        <w:tabs>
          <w:tab w:leader="none" w:pos="708" w:val="left"/>
          <w:tab w:leader="none" w:pos="2547" w:val="left"/>
          <w:tab w:leader="none" w:pos="4859" w:val="center"/>
        </w:tabs>
        <w:suppressAutoHyphens w:val="true"/>
        <w:spacing w:after="0" w:before="0" w:line="100" w:lineRule="atLeast"/>
        <w:ind w:hanging="0" w:left="0" w:right="165"/>
      </w:pP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>Зам. директора по ВР                                                                      Приказ директора школы</w:t>
      </w:r>
    </w:p>
    <w:p>
      <w:pPr>
        <w:pStyle w:val="style0"/>
        <w:widowControl w:val="false"/>
        <w:tabs>
          <w:tab w:leader="none" w:pos="1048" w:val="left"/>
          <w:tab w:leader="none" w:pos="2872" w:val="left"/>
          <w:tab w:leader="none" w:pos="5184" w:val="center"/>
        </w:tabs>
        <w:suppressAutoHyphens w:val="true"/>
        <w:spacing w:after="0" w:before="0" w:line="100" w:lineRule="atLeast"/>
        <w:ind w:hanging="0" w:left="340" w:right="165"/>
      </w:pP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>______Р.М. Михайличенко                                                       «_</w:t>
      </w:r>
      <w:r>
        <w:rPr>
          <w:rFonts w:cs="Times New Roman" w:eastAsia="Times New Roman"/>
          <w:bCs/>
          <w:color w:val="000000"/>
          <w:sz w:val="24"/>
          <w:szCs w:val="24"/>
          <w:u w:val="single"/>
          <w:lang w:eastAsia="ru-RU"/>
        </w:rPr>
        <w:t>25</w:t>
      </w: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>__»_</w:t>
      </w:r>
      <w:r>
        <w:rPr>
          <w:rFonts w:cs="Times New Roman" w:eastAsia="Times New Roman"/>
          <w:bCs/>
          <w:color w:val="000000"/>
          <w:sz w:val="24"/>
          <w:szCs w:val="24"/>
          <w:u w:val="single"/>
          <w:lang w:eastAsia="ru-RU"/>
        </w:rPr>
        <w:t>06</w:t>
      </w: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 xml:space="preserve">_2020 г .№ </w:t>
      </w:r>
      <w:r>
        <w:rPr>
          <w:rFonts w:cs="Times New Roman" w:eastAsia="Times New Roman"/>
          <w:bCs/>
          <w:color w:val="000000"/>
          <w:sz w:val="24"/>
          <w:szCs w:val="24"/>
          <w:u w:val="single"/>
          <w:lang w:eastAsia="ru-RU"/>
        </w:rPr>
        <w:t>130</w:t>
      </w: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 xml:space="preserve">__            </w:t>
      </w:r>
    </w:p>
    <w:p>
      <w:pPr>
        <w:pStyle w:val="style0"/>
        <w:widowControl w:val="false"/>
        <w:tabs>
          <w:tab w:leader="none" w:pos="1048" w:val="left"/>
          <w:tab w:leader="none" w:pos="2872" w:val="left"/>
          <w:tab w:leader="none" w:pos="5184" w:val="center"/>
        </w:tabs>
        <w:suppressAutoHyphens w:val="true"/>
        <w:spacing w:after="0" w:before="0" w:line="200" w:lineRule="atLeast"/>
        <w:ind w:hanging="0" w:left="340" w:right="165"/>
      </w:pP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>«_</w:t>
      </w:r>
      <w:r>
        <w:rPr>
          <w:rFonts w:cs="Times New Roman" w:eastAsia="Times New Roman"/>
          <w:bCs/>
          <w:color w:val="000000"/>
          <w:sz w:val="24"/>
          <w:szCs w:val="24"/>
          <w:u w:val="single"/>
          <w:lang w:eastAsia="ru-RU"/>
        </w:rPr>
        <w:t>25_</w:t>
      </w: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>»__</w:t>
      </w:r>
      <w:r>
        <w:rPr>
          <w:rFonts w:cs="Times New Roman" w:eastAsia="Times New Roman"/>
          <w:bCs/>
          <w:color w:val="000000"/>
          <w:sz w:val="24"/>
          <w:szCs w:val="24"/>
          <w:u w:val="single"/>
          <w:lang w:eastAsia="ru-RU"/>
        </w:rPr>
        <w:t>06_</w:t>
      </w: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 xml:space="preserve">_2020 г.                                                         </w:t>
      </w:r>
    </w:p>
    <w:p>
      <w:pPr>
        <w:pStyle w:val="style0"/>
        <w:tabs>
          <w:tab w:leader="none" w:pos="1048" w:val="left"/>
        </w:tabs>
        <w:suppressAutoHyphens w:val="true"/>
        <w:spacing w:after="0" w:before="0" w:line="100" w:lineRule="atLeast"/>
        <w:ind w:hanging="0" w:left="340" w:right="0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Программа внеурочной деятельности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>«Я- гражданин»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для учащихся 3 класса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на 2020-2021учебный год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Составитель: Яхонтова Е.П. – учитель начальных классов.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Calibri" w:eastAsia="Calibri"/>
          <w:color w:val="000000"/>
          <w:sz w:val="24"/>
          <w:szCs w:val="24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Calibri" w:eastAsia="Calibri"/>
          <w:color w:val="000000"/>
          <w:sz w:val="24"/>
          <w:szCs w:val="24"/>
          <w:lang w:eastAsia="ar-SA"/>
        </w:rPr>
        <w:t xml:space="preserve">с. Полевое,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>2020г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ab/>
        <w:t xml:space="preserve">Рабочая  программа </w:t>
      </w:r>
      <w:r>
        <w:rPr>
          <w:rFonts w:cs="Times New Roman"/>
          <w:color w:val="000000"/>
          <w:sz w:val="24"/>
          <w:szCs w:val="24"/>
          <w:lang w:eastAsia="ru-RU"/>
        </w:rPr>
        <w:t>внеурочной деятельности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«Я-гражданин»  была разработана на основе  Федерального государственного образовательного стандарта начального образования (Примерные программы внеурочной деятельности. Начальное и основное образование. Стандарты второго поколения / под ред. Горского В.А. - М.: Просвещение, 2011).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Рабочая программа составлена  с учетом следующих нормативных, инструктивных и методических документов, обеспечивающих организацию образовательного процесса: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"Федеральный закон от 29.12.2012 г. № 273-ФЗ "Об образовании в Российской Федерации" (редакция от 23.07.2013).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"О федеральном перечне учебников / Письмо Министерства образования и науки Российской Федерации от 29.04.2014 г. № 08-548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"Об утверждении СанПиН 2.4.2.2821-10 "Санитарно-эпидемиологические требования к условиям и организации обучения в образовательных учреждениях" / Постановление Главного государственного санитарного врача Российской Федерации от 29.12.2010 № 02600 (Зарегистрирован Минюстом России 03.03.2011 № 23290)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"Об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 О примерных программах по учебным предметам федерального базисного учебного плана/ Приказ Министерства образования и науки Российской Федерации от 07.07.2005 г. № 03-126.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>Письма  Комитета образования ЕАО от 06.05.2020 №14-2163"Об организации образовательной деятельности в 2020-2021 учебном году"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Приказ МКОУ "ООШ с.Полевое" от 25.06.2020 г №130 "Об утверждении ООП на 2020-2021 учебный год"</w:t>
      </w:r>
    </w:p>
    <w:p>
      <w:pPr>
        <w:pStyle w:val="style0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>Программа рассчитана на проведение занятий во внеучебной деятельности в 3  классе  - 1 час в неделю, всего 34 часа в год.</w:t>
      </w:r>
    </w:p>
    <w:p>
      <w:pPr>
        <w:pStyle w:val="style0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b/>
          <w:bCs/>
          <w:iCs/>
          <w:color w:val="000000"/>
          <w:sz w:val="24"/>
          <w:szCs w:val="24"/>
          <w:lang w:eastAsia="zh-CN"/>
        </w:rPr>
      </w:r>
    </w:p>
    <w:p>
      <w:pPr>
        <w:pStyle w:val="style0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b/>
          <w:bCs/>
          <w:iCs/>
          <w:color w:val="000000"/>
          <w:sz w:val="24"/>
          <w:szCs w:val="24"/>
          <w:lang w:eastAsia="zh-CN"/>
        </w:rPr>
        <w:t>Цель программы:</w:t>
      </w:r>
      <w:r>
        <w:rPr>
          <w:rFonts w:cs="Times New Roman" w:eastAsia="Times New Roman"/>
          <w:sz w:val="24"/>
          <w:szCs w:val="24"/>
          <w:lang w:eastAsia="zh-CN"/>
        </w:rPr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>
        <w:rPr>
          <w:rFonts w:cs="Times New Roman" w:eastAsia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cs="Times New Roman" w:eastAsia="Times New Roman"/>
          <w:sz w:val="24"/>
          <w:szCs w:val="24"/>
          <w:lang w:eastAsia="zh-CN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>
      <w:pPr>
        <w:pStyle w:val="style0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Calibri"/>
          <w:b/>
          <w:sz w:val="24"/>
          <w:szCs w:val="24"/>
        </w:rPr>
        <w:t>Задачи:</w:t>
      </w:r>
    </w:p>
    <w:p>
      <w:pPr>
        <w:pStyle w:val="style0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sz w:val="24"/>
          <w:szCs w:val="24"/>
          <w:lang w:eastAsia="zh-CN"/>
        </w:rPr>
        <w:t>- создавать условия для эффективного гражданского и патриотического воспитания школьников;</w:t>
      </w:r>
    </w:p>
    <w:p>
      <w:pPr>
        <w:pStyle w:val="style0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sz w:val="24"/>
          <w:szCs w:val="24"/>
          <w:lang w:eastAsia="zh-CN"/>
        </w:rPr>
        <w:t>- формировать эффективную работу по 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>
      <w:pPr>
        <w:pStyle w:val="style0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sz w:val="24"/>
          <w:szCs w:val="24"/>
          <w:lang w:eastAsia="zh-CN"/>
        </w:rPr>
        <w:t xml:space="preserve"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>
      <w:pPr>
        <w:pStyle w:val="style0"/>
        <w:tabs>
          <w:tab w:leader="none" w:pos="1701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sz w:val="24"/>
          <w:szCs w:val="24"/>
          <w:lang w:eastAsia="zh-CN"/>
        </w:rPr>
        <w:t xml:space="preserve"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>
      <w:pPr>
        <w:pStyle w:val="style0"/>
        <w:tabs>
          <w:tab w:leader="none" w:pos="1701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sz w:val="24"/>
          <w:szCs w:val="24"/>
          <w:lang w:eastAsia="zh-CN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 деятельность  обучающихся с советами ветеранов войны и труда;</w:t>
      </w:r>
    </w:p>
    <w:p>
      <w:pPr>
        <w:pStyle w:val="style0"/>
        <w:tabs>
          <w:tab w:leader="none" w:pos="1701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Times New Roman"/>
          <w:sz w:val="24"/>
          <w:szCs w:val="24"/>
          <w:lang w:eastAsia="zh-CN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>
      <w:pPr>
        <w:pStyle w:val="style0"/>
        <w:ind w:firstLine="709" w:left="0" w:right="0"/>
        <w:jc w:val="center"/>
      </w:pPr>
      <w:r>
        <w:rPr>
          <w:b/>
          <w:color w:val="000000"/>
        </w:rPr>
        <w:t>Планируемые результаты внеучебной деятельности: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>Личностные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универсальные учебные действия:                                                                                                                                         • ценностно-смысловая ориентация учащихся;                                                                                                                   • нравственно-этическое оценивание;                                                                                                                           • действие смыслообразования;                                                                                                                                                                                              • способность к самооценке на основе критериев успешности учебной деятельности.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Коммуникативные универсальные учебные действия:                                                                                                              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>• умение выражать свои мысли;                                                                                                                                     • разрешение конфликтов, постановка вопросов;                                                                                                    • планирование совместной деятельности;                                                                                                                                       • управление поведением партнера: контроль, коррекция.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Регулятивные универсальные учебные действия:                                                                                                                       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>• целеполагание;                                                                                                                                                                        • волевая саморегуляция;                                                                                                                                              • коррекция;                                                                                                                                                                • оценка качества и уровня усвоения.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Познавательные универсальные действия:                                                                                                   Общеучебные:                                                                                                                                                               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>• умение структурировать знания;                                                                                                                                       • смысловое чтение;                                                                                                                                                                          • выделение и формулирование учебной цели;                                                                                                                • планирование деятельности для достижения результата.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>Логические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>:                                                                                                                                                                       • анализ объектов;                                                                                                                                                     • синтез, как составление целого из частей;                                                                                                                          • классификация объектов;                                                                                                                                              • доказательство;                                                                                                                                                        • выдвижение гипотез и их обоснование;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>Ожидаемые результаты реализации программы: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Calibri"/>
          <w:b/>
          <w:bCs/>
          <w:i/>
          <w:iCs/>
          <w:color w:val="000000"/>
          <w:sz w:val="24"/>
          <w:szCs w:val="24"/>
          <w:shd w:fill="FFFFFF" w:val="clear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приобретение школьниками знаний о правилах ведения здорового образа жизни, об основных нормах гигиены, о принятых в обществе нормах отношения к природе, к памятникам истории и культуры; о российских традициях памяти героев Великой Отечественной войны;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организации досуга других людей; о способах самостоятельного поиска, нахождения и обработки информации.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cs="Times New Roman" w:eastAsia="Calibri"/>
          <w:b/>
          <w:bCs/>
          <w:i/>
          <w:iCs/>
          <w:color w:val="000000"/>
          <w:sz w:val="24"/>
          <w:szCs w:val="24"/>
          <w:shd w:fill="FFFFFF" w:val="clear"/>
          <w:lang w:eastAsia="ru-RU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развитие ценностных отношений школьника к своему здоровью и здоровью окружающих его людей, к спорту и физкультуре, к природе, к родному Отечеству, его истории и народу, к труду, к другим людям.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cs="Times New Roman" w:eastAsia="Calibri"/>
          <w:b/>
          <w:color w:val="000000"/>
          <w:sz w:val="24"/>
          <w:szCs w:val="24"/>
        </w:rPr>
        <w:t>В результате реализации программы ожидается:</w:t>
      </w:r>
    </w:p>
    <w:p>
      <w:pPr>
        <w:pStyle w:val="style0"/>
        <w:tabs>
          <w:tab w:leader="none" w:pos="708" w:val="left"/>
          <w:tab w:leader="none" w:pos="5550" w:val="left"/>
        </w:tabs>
        <w:suppressAutoHyphens w:val="true"/>
        <w:spacing w:after="0" w:before="0" w:line="100" w:lineRule="atLeast"/>
        <w:jc w:val="both"/>
      </w:pPr>
      <w:r>
        <w:rPr>
          <w:rFonts w:cs="Times New Roman" w:eastAsia="Calibri"/>
          <w:color w:val="000000"/>
          <w:sz w:val="24"/>
          <w:szCs w:val="24"/>
        </w:rPr>
        <w:t xml:space="preserve">            </w:t>
      </w:r>
      <w:r>
        <w:rPr>
          <w:rFonts w:cs="Times New Roman" w:eastAsia="Calibri"/>
          <w:color w:val="000000"/>
          <w:sz w:val="24"/>
          <w:szCs w:val="24"/>
        </w:rPr>
        <w:t>развитие творческих способностей;</w:t>
        <w:tab/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Calibri"/>
          <w:color w:val="000000"/>
          <w:sz w:val="24"/>
          <w:szCs w:val="24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Calibri"/>
          <w:color w:val="000000"/>
          <w:sz w:val="24"/>
          <w:szCs w:val="24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cs="Times New Roman" w:eastAsia="Calibri"/>
          <w:color w:val="000000"/>
          <w:sz w:val="24"/>
          <w:szCs w:val="24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cs="Times New Roman" w:eastAsia="Calibri"/>
          <w:color w:val="000000"/>
          <w:sz w:val="24"/>
          <w:szCs w:val="24"/>
        </w:rPr>
        <w:tab/>
        <w:t xml:space="preserve">  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cs="Times New Roman" w:eastAsia="Calibri"/>
          <w:color w:val="000000"/>
          <w:sz w:val="24"/>
          <w:szCs w:val="24"/>
        </w:rPr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0"/>
      </w:pPr>
      <w:r>
        <w:rPr>
          <w:rFonts w:cs=""/>
          <w:color w:val="000000"/>
          <w:lang w:eastAsia="ru-RU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cs="Times New Roman"/>
          <w:b/>
          <w:bCs/>
          <w:color w:val="000000"/>
        </w:rPr>
        <w:t>Содержание программы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b/>
          <w:sz w:val="24"/>
          <w:szCs w:val="24"/>
          <w:lang w:eastAsia="ru-RU"/>
        </w:rPr>
        <w:t>«Я и я» (2 ч.)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sz w:val="24"/>
          <w:szCs w:val="24"/>
          <w:lang w:eastAsia="ru-RU"/>
        </w:rPr>
        <w:t>Мы все такие разные. Кто что любит и умеет делать.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Для чего я рождён? Что значит «быть человеком».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b/>
          <w:sz w:val="24"/>
          <w:szCs w:val="24"/>
          <w:lang w:eastAsia="ru-RU"/>
        </w:rPr>
        <w:t>«Я и семья» (6 ч.)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sz w:val="24"/>
          <w:szCs w:val="24"/>
          <w:lang w:eastAsia="ru-RU"/>
        </w:rPr>
        <w:t>В гостях у предков. Откуда я родом. Почему меня так назвали.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Что значит быть хорошим сыном и дочерью. Моя семья – моя радость.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У моих родителей – золотые руки.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Панорама добрых дел. Доброта в стихах и сказках.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Пожилые люди – мудрые люди. Золотые бабушкины руки.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Народный лечебник. Операция «Красный крест». Бабушкины советы.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b/>
          <w:sz w:val="24"/>
          <w:szCs w:val="24"/>
          <w:lang w:eastAsia="ru-RU"/>
        </w:rPr>
        <w:t>«Я и культура» (3 ч)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sz w:val="24"/>
          <w:szCs w:val="24"/>
          <w:lang w:eastAsia="ru-RU"/>
        </w:rPr>
        <w:t xml:space="preserve">Песни о Родине. Люблю тебя моя Россия! 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Книги о Родине. Богатыри земли Русской.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Дети войны.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b/>
          <w:sz w:val="24"/>
          <w:szCs w:val="24"/>
          <w:lang w:eastAsia="ru-RU"/>
        </w:rPr>
        <w:t>«Я и школа» (4 ч.)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sz w:val="24"/>
          <w:szCs w:val="24"/>
          <w:lang w:eastAsia="ru-RU"/>
        </w:rPr>
        <w:t>Школьный Устав. Мои права и обязанности.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Мой класс – моя семья. Я и мои друзья. Каков я в школе?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Произведения о школьной жизни. Наша школа в будущем.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«Вежливая» улица. По каким правилам мы живём.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b/>
          <w:sz w:val="24"/>
          <w:szCs w:val="24"/>
          <w:lang w:eastAsia="ru-RU"/>
        </w:rPr>
        <w:t>«Я и моё Отечество» (13 ч.)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sz w:val="24"/>
          <w:szCs w:val="24"/>
          <w:lang w:eastAsia="ru-RU"/>
        </w:rPr>
        <w:t>Наша страна – Россия. Урок милосердия и доброты.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Конституция – основной закон жизни страны.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Символика Российского государства. Герб РФ.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Символика Российского государства. Флаг РФ.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Символика Российского государства. Гимн РФ.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Москва – главный город России. Великие достопримечательности столицы.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Путешествие по стране. Посмотри, как он хорош, мир, в котором ты живешь.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Мой любимый город. О чем говорят названия улиц.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След Великой Отечественной войны в жизни родного края. Герои войны – наши земляки.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Слава и честь защитникам Отечества! 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Подвиги женщин в военное время.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Дети – герои Великой Отечественной войны.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Путешествие по городам - героям военной славы.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b/>
          <w:sz w:val="24"/>
          <w:szCs w:val="24"/>
          <w:lang w:eastAsia="ru-RU"/>
        </w:rPr>
        <w:t>«Я и планета» (6 ч.)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cs="Times New Roman"/>
          <w:sz w:val="24"/>
          <w:szCs w:val="24"/>
          <w:lang w:eastAsia="ru-RU"/>
        </w:rPr>
        <w:t>Чем живет планета  Земля? Судьба Земли – наша судьба.   Мы – жители планеты Земля. Мы обязаны беречь природу. Экология. Растения из Красной книги. Растения – рекордсмены.  Животные из Красной книги. Животные – рекордсмены. Экология нашего села. Знай, люби и береги свой край.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cs="Times New Roman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cs="Times New Roman"/>
          <w:b/>
          <w:sz w:val="24"/>
          <w:szCs w:val="24"/>
        </w:rPr>
        <w:t>Тематическое планирование</w:t>
      </w:r>
    </w:p>
    <w:p>
      <w:pPr>
        <w:pStyle w:val="style0"/>
        <w:spacing w:after="0" w:before="0" w:line="100" w:lineRule="atLeast"/>
        <w:jc w:val="center"/>
      </w:pPr>
      <w:r>
        <w:rPr>
          <w:rFonts w:cs="Times New Roman"/>
          <w:b/>
          <w:sz w:val="24"/>
          <w:szCs w:val="24"/>
        </w:rPr>
      </w:r>
    </w:p>
    <w:tbl>
      <w:tblPr>
        <w:jc w:val="left"/>
        <w:tblInd w:type="dxa" w:w="-108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1100"/>
        <w:gridCol w:w="5953"/>
        <w:gridCol w:w="2801"/>
      </w:tblGrid>
      <w:tr>
        <w:trPr>
          <w:cantSplit w:val="false"/>
        </w:trPr>
        <w:tc>
          <w:tcPr>
            <w:tcW w:type="dxa" w:w="110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type="dxa" w:w="595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type="dxa" w:w="280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line="100" w:lineRule="atLeast"/>
            </w:pPr>
            <w:r>
              <w:rPr>
                <w:rFonts w:cs="Times New Roman" w:eastAsia="Calibri"/>
                <w:color w:val="000000"/>
                <w:sz w:val="24"/>
                <w:szCs w:val="24"/>
              </w:rPr>
              <w:t>Я и я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line="100" w:lineRule="atLeast"/>
            </w:pPr>
            <w:r>
              <w:rPr>
                <w:rFonts w:cs="Times New Roman" w:eastAsia="Calibri"/>
                <w:color w:val="000000"/>
                <w:sz w:val="24"/>
                <w:szCs w:val="24"/>
              </w:rPr>
              <w:t>Я и семья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line="100" w:lineRule="atLeast"/>
            </w:pPr>
            <w:r>
              <w:rPr>
                <w:rFonts w:cs="Times New Roman" w:eastAsia="Calibri"/>
                <w:color w:val="000000"/>
                <w:sz w:val="24"/>
                <w:szCs w:val="24"/>
              </w:rPr>
              <w:t>Я и культура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line="100" w:lineRule="atLeast"/>
            </w:pPr>
            <w:r>
              <w:rPr>
                <w:rFonts w:cs="Times New Roman" w:eastAsia="Calibri"/>
                <w:color w:val="000000"/>
                <w:sz w:val="24"/>
                <w:szCs w:val="24"/>
              </w:rPr>
              <w:t>Я и школа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line="100" w:lineRule="atLeast"/>
            </w:pPr>
            <w:r>
              <w:rPr>
                <w:rFonts w:cs="Times New Roman" w:eastAsia="Calibri"/>
                <w:color w:val="000000"/>
                <w:sz w:val="24"/>
                <w:szCs w:val="24"/>
              </w:rPr>
              <w:t>Я и мое Отечество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line="100" w:lineRule="atLeast"/>
            </w:pPr>
            <w:r>
              <w:rPr>
                <w:rFonts w:cs="Times New Roman" w:eastAsia="Calibri"/>
                <w:color w:val="000000"/>
                <w:sz w:val="24"/>
                <w:szCs w:val="24"/>
              </w:rPr>
              <w:t>Я и планета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line="100" w:lineRule="atLeast"/>
            </w:pPr>
            <w:r>
              <w:rPr>
                <w:rFonts w:cs="Times New Roman" w:eastAsia="Calibr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>
      <w:pPr>
        <w:pStyle w:val="style0"/>
        <w:jc w:val="center"/>
      </w:pPr>
      <w:r>
        <w:rPr>
          <w:b/>
          <w:color w:val="000000"/>
        </w:rPr>
        <w:t>Методическое обеспечение: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Компьютер - 1.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Проектор - 1.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Экран - 1.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Альбом – 12.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Цветная бумага – 12.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Картон – 12.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Краски – 12.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Клей – 12.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Пластилин – 12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Ножницы – 12</w:t>
      </w:r>
      <w:bookmarkStart w:id="0" w:name="_GoBack"/>
      <w:bookmarkEnd w:id="0"/>
      <w:r>
        <w:rPr>
          <w:rFonts w:eastAsia="Calibri"/>
          <w:color w:val="000000"/>
          <w:lang w:eastAsia="en-US"/>
        </w:rPr>
        <w:t>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Глобус – 1.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Физическая карта России – 1.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Физическая карта ЕАО – 1.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Конституция РФ – 1.</w:t>
      </w:r>
    </w:p>
    <w:p>
      <w:pPr>
        <w:pStyle w:val="style0"/>
        <w:numPr>
          <w:ilvl w:val="0"/>
          <w:numId w:val="2"/>
        </w:numPr>
      </w:pPr>
      <w:r>
        <w:rPr>
          <w:rFonts w:eastAsia="Calibri"/>
          <w:color w:val="000000"/>
          <w:lang w:eastAsia="en-US"/>
        </w:rPr>
        <w:t>Конвенция прав ребенка – 1.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tabs>
          <w:tab w:leader="none" w:pos="708" w:val="left"/>
          <w:tab w:leader="none" w:pos="9072" w:val="left"/>
        </w:tabs>
        <w:ind w:firstLine="709" w:left="0" w:right="0"/>
        <w:jc w:val="both"/>
      </w:pPr>
      <w:r>
        <w:rPr>
          <w:color w:val="000000"/>
        </w:rPr>
      </w:r>
    </w:p>
    <w:p>
      <w:pPr>
        <w:pStyle w:val="style0"/>
        <w:tabs>
          <w:tab w:leader="none" w:pos="708" w:val="left"/>
          <w:tab w:leader="none" w:pos="9072" w:val="left"/>
        </w:tabs>
        <w:ind w:firstLine="709" w:left="0" w:right="0"/>
        <w:jc w:val="center"/>
      </w:pPr>
      <w:r>
        <w:rPr>
          <w:b/>
          <w:color w:val="000000"/>
        </w:rPr>
        <w:t>Литература:</w:t>
      </w:r>
    </w:p>
    <w:p>
      <w:pPr>
        <w:pStyle w:val="style22"/>
        <w:ind w:firstLine="709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1.М.А. Козлова «Внеклассная работа»: Книга для учителя. – М.: Издательство «Первое сентября», 2000г.</w:t>
      </w:r>
    </w:p>
    <w:p>
      <w:pPr>
        <w:pStyle w:val="style22"/>
        <w:ind w:firstLine="709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2.С.В.Крючкова «Сценарии школьных праздников» - М.: Издательство «Первое сентября», 2001г.</w:t>
      </w:r>
    </w:p>
    <w:p>
      <w:pPr>
        <w:pStyle w:val="style22"/>
        <w:ind w:firstLine="709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3.Журналы «Начальная школа», газеты «Первое сентября»</w:t>
      </w:r>
    </w:p>
    <w:p>
      <w:pPr>
        <w:pStyle w:val="style22"/>
        <w:ind w:firstLine="709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4.Интернет-ресурсы</w:t>
      </w:r>
    </w:p>
    <w:p>
      <w:pPr>
        <w:pStyle w:val="style0"/>
        <w:jc w:val="center"/>
      </w:pPr>
      <w:r>
        <w:rPr>
          <w:rFonts w:cs="Times New Roman"/>
          <w:sz w:val="24"/>
          <w:szCs w:val="24"/>
          <w:lang w:eastAsia="ru-RU"/>
        </w:rPr>
      </w:r>
    </w:p>
    <w:p>
      <w:pPr>
        <w:pStyle w:val="style0"/>
        <w:jc w:val="center"/>
      </w:pPr>
      <w:r>
        <w:rPr>
          <w:rFonts w:cs="Times New Roman"/>
          <w:sz w:val="24"/>
          <w:szCs w:val="24"/>
          <w:lang w:eastAsia="ru-RU"/>
        </w:rPr>
      </w:r>
    </w:p>
    <w:p>
      <w:pPr>
        <w:pStyle w:val="style0"/>
        <w:jc w:val="both"/>
      </w:pPr>
      <w:r>
        <w:rPr>
          <w:rFonts w:cs=""/>
          <w:color w:val="000000"/>
          <w:lang w:eastAsia="ru-RU"/>
        </w:rPr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360" w:type="default"/>
        </w:sectPr>
      </w:pP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both"/>
      </w:pPr>
      <w:r>
        <w:rPr>
          <w:rFonts w:ascii="Calibri" w:cs="Times New Roman" w:eastAsia="Calibri" w:hAnsi="Calibri"/>
          <w:color w:val="000000"/>
        </w:rPr>
      </w:r>
    </w:p>
    <w:p>
      <w:pPr>
        <w:pStyle w:val="style0"/>
        <w:jc w:val="center"/>
      </w:pPr>
      <w:r>
        <w:rPr/>
      </w:r>
    </w:p>
    <w:sectPr>
      <w:type w:val="continuous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2020-10-17T09:43:00.00Z</dcterms:created>
  <dc:creator>лена</dc:creator>
  <cp:lastModifiedBy>лена</cp:lastModifiedBy>
  <dcterms:modified xsi:type="dcterms:W3CDTF">2020-10-17T10:10:00.00Z</dcterms:modified>
  <cp:revision>2</cp:revision>
</cp:coreProperties>
</file>